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59747" w14:textId="265C1743" w:rsidR="00952BB3" w:rsidRDefault="00952BB3">
      <w:r w:rsidRPr="00952BB3">
        <w:rPr>
          <w:rStyle w:val="Strong"/>
          <w:rFonts w:ascii="Lato" w:hAnsi="Lato"/>
          <w:color w:val="333333"/>
          <w:sz w:val="21"/>
          <w:szCs w:val="21"/>
          <w:u w:val="single"/>
          <w:shd w:val="clear" w:color="auto" w:fill="F5F5F5"/>
        </w:rPr>
        <w:t>Drawing up of a new will is particularly recommended in the following situations: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1.    You have minor or disabled children (mainly to appoint a guardian and create some sort of </w:t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long-term</w:t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 financial provision for them).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2.    You have children (including adult children) to different marriages and/or domestic relationships.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3.    You have step-children who are or have been dependent on you in the past.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4.    You have children who have died, leaving children of their own.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5.    You are still technically married, but are separated and in another relationship. Your Will automatically lapses when you divorce. </w:t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So,</w:t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 if divorce is being contemplated, it would be wise to get a new will drafted.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6.    You have assets likely to be affected by Capital Gains Tax on your death and you wish to postpone your estate’s tax liability at your death.</w:t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</w:rPr>
        <w:br/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>7. You wish to benefit your de facto partner in your will but your relationship is less than 2 years and</w:t>
      </w:r>
      <w:r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 you do not have children with your de facto partner. </w:t>
      </w:r>
      <w:r w:rsidRPr="00952BB3">
        <w:rPr>
          <w:rFonts w:ascii="Lato" w:hAnsi="Lato"/>
          <w:color w:val="333333"/>
          <w:sz w:val="21"/>
          <w:szCs w:val="21"/>
          <w:shd w:val="clear" w:color="auto" w:fill="F5F5F5"/>
        </w:rPr>
        <w:t xml:space="preserve"> </w:t>
      </w:r>
      <w:bookmarkStart w:id="0" w:name="_GoBack"/>
      <w:bookmarkEnd w:id="0"/>
    </w:p>
    <w:sectPr w:rsidR="00952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B3"/>
    <w:rsid w:val="0095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890FC"/>
  <w15:chartTrackingRefBased/>
  <w15:docId w15:val="{986350B1-2B5A-47E2-B342-8AF0B64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2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239BE-0C11-48C4-A198-AA1F70BE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Charlotte</cp:lastModifiedBy>
  <cp:revision>1</cp:revision>
  <dcterms:created xsi:type="dcterms:W3CDTF">2019-12-02T02:14:00Z</dcterms:created>
  <dcterms:modified xsi:type="dcterms:W3CDTF">2019-12-02T02:17:00Z</dcterms:modified>
</cp:coreProperties>
</file>